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1C588" w14:textId="77777777" w:rsidR="00D332C1" w:rsidRDefault="00D332C1" w:rsidP="00D332C1">
      <w:pPr>
        <w:rPr>
          <w:rFonts w:ascii="ＭＳ ゴシック" w:eastAsia="ＭＳ ゴシック" w:hAnsi="ＭＳ ゴシック"/>
          <w:b/>
        </w:rPr>
      </w:pPr>
      <w:r>
        <w:rPr>
          <w:rFonts w:ascii="ＭＳ ゴシック" w:eastAsia="ＭＳ ゴシック" w:hAnsi="ＭＳ ゴシック" w:hint="eastAsia"/>
          <w:b/>
          <w:color w:val="auto"/>
        </w:rPr>
        <w:t>（別紙－１）</w:t>
      </w:r>
    </w:p>
    <w:p w14:paraId="7513EEC9" w14:textId="77777777" w:rsidR="00D332C1" w:rsidRDefault="00D332C1" w:rsidP="00D332C1">
      <w:pPr>
        <w:spacing w:line="280" w:lineRule="exact"/>
        <w:rPr>
          <w:rFonts w:hint="eastAsia"/>
        </w:rPr>
      </w:pPr>
    </w:p>
    <w:p w14:paraId="18BC82F1" w14:textId="77777777" w:rsidR="00D332C1" w:rsidRDefault="00D332C1" w:rsidP="00D332C1">
      <w:pPr>
        <w:overflowPunct/>
        <w:jc w:val="center"/>
        <w:rPr>
          <w:rFonts w:cs="Times New Roman" w:hint="eastAsia"/>
          <w:color w:val="auto"/>
          <w:kern w:val="2"/>
          <w:sz w:val="32"/>
          <w:szCs w:val="32"/>
        </w:rPr>
      </w:pPr>
      <w:r w:rsidRPr="00D332C1">
        <w:rPr>
          <w:rFonts w:cs="Times New Roman" w:hint="eastAsia"/>
          <w:color w:val="auto"/>
          <w:spacing w:val="400"/>
          <w:sz w:val="32"/>
          <w:szCs w:val="32"/>
          <w:fitText w:val="2560" w:id="-738449152"/>
        </w:rPr>
        <w:t>誓約</w:t>
      </w:r>
      <w:r w:rsidRPr="00D332C1">
        <w:rPr>
          <w:rFonts w:cs="Times New Roman" w:hint="eastAsia"/>
          <w:color w:val="auto"/>
          <w:sz w:val="32"/>
          <w:szCs w:val="32"/>
          <w:fitText w:val="2560" w:id="-738449152"/>
        </w:rPr>
        <w:t>書</w:t>
      </w:r>
    </w:p>
    <w:p w14:paraId="12F81D03" w14:textId="77777777" w:rsidR="00D332C1" w:rsidRDefault="00D332C1" w:rsidP="00D332C1">
      <w:pPr>
        <w:overflowPunct/>
        <w:spacing w:line="280" w:lineRule="exact"/>
        <w:rPr>
          <w:rFonts w:cs="Times New Roman" w:hint="eastAsia"/>
          <w:color w:val="auto"/>
          <w:kern w:val="2"/>
          <w:szCs w:val="24"/>
        </w:rPr>
      </w:pPr>
    </w:p>
    <w:p w14:paraId="537DBE2D" w14:textId="77777777" w:rsidR="00D332C1" w:rsidRDefault="00D332C1" w:rsidP="00D332C1">
      <w:pPr>
        <w:overflowPunct/>
        <w:jc w:val="right"/>
        <w:rPr>
          <w:rFonts w:cs="Times New Roman" w:hint="eastAsia"/>
          <w:color w:val="auto"/>
          <w:kern w:val="2"/>
          <w:szCs w:val="24"/>
        </w:rPr>
      </w:pPr>
      <w:r>
        <w:rPr>
          <w:rFonts w:cs="Times New Roman" w:hint="eastAsia"/>
          <w:color w:val="auto"/>
          <w:kern w:val="2"/>
          <w:szCs w:val="24"/>
        </w:rPr>
        <w:t>年　　　月　　　日</w:t>
      </w:r>
    </w:p>
    <w:p w14:paraId="19F5A622" w14:textId="77777777" w:rsidR="00D332C1" w:rsidRDefault="00D332C1" w:rsidP="00D332C1">
      <w:pPr>
        <w:overflowPunct/>
        <w:spacing w:line="280" w:lineRule="exact"/>
        <w:rPr>
          <w:rFonts w:cs="Times New Roman" w:hint="eastAsia"/>
          <w:color w:val="auto"/>
          <w:kern w:val="2"/>
          <w:szCs w:val="24"/>
        </w:rPr>
      </w:pPr>
    </w:p>
    <w:p w14:paraId="7FF31B66" w14:textId="77777777" w:rsidR="00D332C1" w:rsidRDefault="00D332C1" w:rsidP="00D332C1">
      <w:pPr>
        <w:overflowPunct/>
        <w:ind w:firstLineChars="300" w:firstLine="630"/>
        <w:rPr>
          <w:rFonts w:cs="Times New Roman" w:hint="eastAsia"/>
          <w:color w:val="auto"/>
          <w:kern w:val="2"/>
          <w:szCs w:val="24"/>
        </w:rPr>
      </w:pPr>
      <w:r>
        <w:rPr>
          <w:rFonts w:cs="Times New Roman" w:hint="eastAsia"/>
          <w:color w:val="auto"/>
          <w:kern w:val="2"/>
          <w:szCs w:val="24"/>
        </w:rPr>
        <w:t>いわき市長　様</w:t>
      </w:r>
    </w:p>
    <w:p w14:paraId="2C6F08F9" w14:textId="77777777" w:rsidR="00D332C1" w:rsidRDefault="00D332C1" w:rsidP="00D332C1">
      <w:pPr>
        <w:overflowPunct/>
        <w:spacing w:line="280" w:lineRule="exact"/>
        <w:rPr>
          <w:rFonts w:cs="Times New Roman" w:hint="eastAsia"/>
          <w:color w:val="auto"/>
          <w:kern w:val="2"/>
          <w:szCs w:val="24"/>
        </w:rPr>
      </w:pPr>
    </w:p>
    <w:p w14:paraId="3AB8081B" w14:textId="77777777" w:rsidR="00D332C1" w:rsidRDefault="00D332C1" w:rsidP="00D332C1">
      <w:pPr>
        <w:overflowPunct/>
        <w:ind w:firstLineChars="1500" w:firstLine="3150"/>
        <w:rPr>
          <w:rFonts w:cs="Times New Roman" w:hint="eastAsia"/>
          <w:color w:val="auto"/>
          <w:kern w:val="2"/>
          <w:szCs w:val="24"/>
        </w:rPr>
      </w:pPr>
      <w:r>
        <w:rPr>
          <w:rFonts w:cs="Times New Roman" w:hint="eastAsia"/>
          <w:color w:val="auto"/>
          <w:kern w:val="2"/>
          <w:szCs w:val="24"/>
        </w:rPr>
        <w:t>設置者　　住　　所</w:t>
      </w:r>
    </w:p>
    <w:p w14:paraId="411BD0DF" w14:textId="0432B727" w:rsidR="00D332C1" w:rsidRDefault="00D332C1" w:rsidP="00D332C1">
      <w:pPr>
        <w:overflowPunct/>
        <w:ind w:firstLineChars="1500" w:firstLine="3150"/>
        <w:rPr>
          <w:rFonts w:cs="Times New Roman" w:hint="eastAsia"/>
          <w:color w:val="auto"/>
          <w:kern w:val="2"/>
          <w:szCs w:val="24"/>
        </w:rPr>
      </w:pPr>
      <w:r>
        <w:rPr>
          <w:rFonts w:cs="Times New Roman" w:hint="eastAsia"/>
          <w:color w:val="auto"/>
          <w:kern w:val="2"/>
          <w:szCs w:val="24"/>
        </w:rPr>
        <w:t xml:space="preserve">　</w:t>
      </w:r>
      <w:r>
        <w:rPr>
          <w:rFonts w:cs="Times New Roman" w:hint="eastAsia"/>
          <w:color w:val="auto"/>
          <w:kern w:val="2"/>
          <w:szCs w:val="24"/>
        </w:rPr>
        <w:t xml:space="preserve">　</w:t>
      </w:r>
      <w:r>
        <w:rPr>
          <w:rFonts w:cs="Times New Roman" w:hint="eastAsia"/>
          <w:color w:val="auto"/>
          <w:kern w:val="2"/>
          <w:szCs w:val="24"/>
        </w:rPr>
        <w:t xml:space="preserve">　　　氏　　名　　　　　　　　　　　　　　　　</w:t>
      </w:r>
      <w:r>
        <w:rPr>
          <w:rFonts w:cs="Times New Roman" w:hint="eastAsia"/>
          <w:color w:val="auto"/>
          <w:kern w:val="2"/>
          <w:szCs w:val="24"/>
        </w:rPr>
        <w:fldChar w:fldCharType="begin"/>
      </w:r>
      <w:r>
        <w:rPr>
          <w:rFonts w:cs="Times New Roman" w:hint="eastAsia"/>
          <w:color w:val="auto"/>
          <w:kern w:val="2"/>
          <w:szCs w:val="24"/>
        </w:rPr>
        <w:instrText xml:space="preserve"> eq \o\ac(</w:instrText>
      </w:r>
      <w:r>
        <w:rPr>
          <w:rFonts w:cs="Times New Roman" w:hint="eastAsia"/>
          <w:color w:val="auto"/>
          <w:kern w:val="2"/>
          <w:position w:val="-4"/>
          <w:sz w:val="31"/>
          <w:szCs w:val="24"/>
        </w:rPr>
        <w:instrText>○</w:instrText>
      </w:r>
      <w:r>
        <w:rPr>
          <w:rFonts w:cs="Times New Roman" w:hint="eastAsia"/>
          <w:color w:val="auto"/>
          <w:kern w:val="2"/>
          <w:szCs w:val="24"/>
        </w:rPr>
        <w:instrText>,印)</w:instrText>
      </w:r>
      <w:r>
        <w:rPr>
          <w:rFonts w:cs="Times New Roman" w:hint="eastAsia"/>
          <w:color w:val="auto"/>
          <w:kern w:val="2"/>
          <w:szCs w:val="24"/>
        </w:rPr>
        <w:fldChar w:fldCharType="end"/>
      </w:r>
    </w:p>
    <w:p w14:paraId="6328C56A" w14:textId="77777777" w:rsidR="00D332C1" w:rsidRDefault="00D332C1" w:rsidP="00D332C1">
      <w:pPr>
        <w:overflowPunct/>
        <w:rPr>
          <w:rFonts w:cs="Times New Roman" w:hint="eastAsia"/>
          <w:color w:val="auto"/>
          <w:kern w:val="2"/>
          <w:szCs w:val="24"/>
        </w:rPr>
      </w:pPr>
      <w:r>
        <w:rPr>
          <w:rFonts w:cs="Times New Roman" w:hint="eastAsia"/>
          <w:color w:val="auto"/>
          <w:kern w:val="2"/>
          <w:szCs w:val="24"/>
        </w:rPr>
        <w:t xml:space="preserve">　　　　　　　　　　　　　　　　　　　　電話番号　　　（　　　）</w:t>
      </w:r>
    </w:p>
    <w:p w14:paraId="2E2A5B82" w14:textId="77777777" w:rsidR="00D332C1" w:rsidRDefault="00D332C1" w:rsidP="00D332C1">
      <w:pPr>
        <w:overflowPunct/>
        <w:spacing w:line="240" w:lineRule="exact"/>
        <w:ind w:leftChars="-171" w:left="-359" w:firstLineChars="171" w:firstLine="376"/>
        <w:rPr>
          <w:rFonts w:cs="Times New Roman" w:hint="eastAsia"/>
          <w:color w:val="auto"/>
          <w:kern w:val="2"/>
          <w:sz w:val="22"/>
          <w:szCs w:val="22"/>
        </w:rPr>
      </w:pPr>
    </w:p>
    <w:p w14:paraId="2A056890" w14:textId="77777777" w:rsidR="00D332C1" w:rsidRDefault="00D332C1" w:rsidP="00D332C1">
      <w:pPr>
        <w:overflowPunct/>
        <w:spacing w:line="240" w:lineRule="exact"/>
        <w:ind w:leftChars="-171" w:left="-359" w:firstLineChars="171" w:firstLine="376"/>
        <w:rPr>
          <w:rFonts w:cs="Times New Roman" w:hint="eastAsia"/>
          <w:color w:val="auto"/>
          <w:kern w:val="2"/>
          <w:sz w:val="22"/>
          <w:szCs w:val="22"/>
        </w:rPr>
      </w:pPr>
      <w:r>
        <w:rPr>
          <w:rFonts w:cs="Times New Roman" w:hint="eastAsia"/>
          <w:color w:val="auto"/>
          <w:kern w:val="2"/>
          <w:sz w:val="22"/>
          <w:szCs w:val="22"/>
        </w:rPr>
        <w:t xml:space="preserve">　</w:t>
      </w:r>
    </w:p>
    <w:p w14:paraId="2C892A17" w14:textId="77777777" w:rsidR="00D332C1" w:rsidRDefault="00D332C1" w:rsidP="00D332C1">
      <w:pPr>
        <w:overflowPunct/>
        <w:ind w:firstLineChars="200" w:firstLine="480"/>
        <w:rPr>
          <w:rFonts w:cs="Times New Roman" w:hint="eastAsia"/>
          <w:color w:val="auto"/>
          <w:kern w:val="2"/>
          <w:sz w:val="24"/>
          <w:szCs w:val="24"/>
        </w:rPr>
      </w:pPr>
      <w:r>
        <w:rPr>
          <w:rFonts w:cs="Times New Roman" w:hint="eastAsia"/>
          <w:color w:val="auto"/>
          <w:kern w:val="2"/>
          <w:sz w:val="24"/>
          <w:szCs w:val="24"/>
        </w:rPr>
        <w:t>浄化槽の設置にあたり、次のことについて誓約いたします。</w:t>
      </w:r>
    </w:p>
    <w:p w14:paraId="25207CAA" w14:textId="70293580" w:rsidR="00D332C1" w:rsidRDefault="00D332C1" w:rsidP="00D332C1">
      <w:pPr>
        <w:overflowPunct/>
        <w:ind w:leftChars="-171" w:left="-359" w:firstLineChars="171" w:firstLine="359"/>
        <w:rPr>
          <w:rFonts w:cs="Times New Roman" w:hint="eastAsia"/>
          <w:color w:val="auto"/>
          <w:kern w:val="2"/>
          <w:sz w:val="22"/>
          <w:szCs w:val="22"/>
        </w:rPr>
      </w:pPr>
      <w:r>
        <w:rPr>
          <w:rFonts w:hint="eastAsia"/>
          <w:noProof/>
        </w:rPr>
        <mc:AlternateContent>
          <mc:Choice Requires="wps">
            <w:drawing>
              <wp:anchor distT="0" distB="0" distL="114300" distR="114300" simplePos="0" relativeHeight="251658240" behindDoc="0" locked="0" layoutInCell="1" allowOverlap="1" wp14:anchorId="60595BEB" wp14:editId="768BE6FB">
                <wp:simplePos x="0" y="0"/>
                <wp:positionH relativeFrom="column">
                  <wp:posOffset>48260</wp:posOffset>
                </wp:positionH>
                <wp:positionV relativeFrom="paragraph">
                  <wp:posOffset>22860</wp:posOffset>
                </wp:positionV>
                <wp:extent cx="5735955" cy="4888230"/>
                <wp:effectExtent l="10160" t="13335" r="6985" b="13335"/>
                <wp:wrapNone/>
                <wp:docPr id="1797161024"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5955" cy="4888230"/>
                        </a:xfrm>
                        <a:prstGeom prst="roundRect">
                          <a:avLst>
                            <a:gd name="adj" fmla="val 4005"/>
                          </a:avLst>
                        </a:prstGeom>
                        <a:solidFill>
                          <a:srgbClr val="FFFFFF"/>
                        </a:solidFill>
                        <a:ln w="9525">
                          <a:solidFill>
                            <a:srgbClr val="000000"/>
                          </a:solidFill>
                          <a:round/>
                          <a:headEnd/>
                          <a:tailEnd/>
                        </a:ln>
                      </wps:spPr>
                      <wps:txbx>
                        <w:txbxContent>
                          <w:p w14:paraId="5F2833C4" w14:textId="77777777" w:rsidR="00D332C1" w:rsidRDefault="00D332C1" w:rsidP="00D332C1">
                            <w:pPr>
                              <w:ind w:left="220" w:hangingChars="100" w:hanging="220"/>
                              <w:rPr>
                                <w:rFonts w:ascii="BIZ UD明朝 Medium" w:eastAsia="BIZ UD明朝 Medium" w:hAnsi="BIZ UD明朝 Medium"/>
                                <w:sz w:val="22"/>
                                <w:szCs w:val="22"/>
                              </w:rPr>
                            </w:pPr>
                            <w:r>
                              <w:rPr>
                                <w:rFonts w:ascii="BIZ UD明朝 Medium" w:eastAsia="BIZ UD明朝 Medium" w:hAnsi="BIZ UD明朝 Medium" w:hint="eastAsia"/>
                                <w:sz w:val="22"/>
                                <w:szCs w:val="22"/>
                              </w:rPr>
                              <w:t>１．放流先に水利権等がある場合は、あらかじめ当該水利権者等の同意を受けるとともに、放流水に係る紛争又は苦情があった場合は、当事者間において責任をもって解決します。</w:t>
                            </w:r>
                          </w:p>
                          <w:p w14:paraId="2456D300" w14:textId="77777777" w:rsidR="00D332C1" w:rsidRDefault="00D332C1" w:rsidP="00D332C1">
                            <w:pPr>
                              <w:rPr>
                                <w:rFonts w:ascii="BIZ UD明朝 Medium" w:eastAsia="BIZ UD明朝 Medium" w:hAnsi="BIZ UD明朝 Medium" w:hint="eastAsia"/>
                                <w:sz w:val="22"/>
                                <w:szCs w:val="22"/>
                              </w:rPr>
                            </w:pPr>
                          </w:p>
                          <w:p w14:paraId="31E976F3" w14:textId="77777777" w:rsidR="00D332C1" w:rsidRDefault="00D332C1" w:rsidP="00D332C1">
                            <w:pPr>
                              <w:ind w:left="220" w:hangingChars="100" w:hanging="220"/>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２．その他、浄化槽に起因する問題が生じた場合は、設置者の責任において適切に改善します。</w:t>
                            </w:r>
                          </w:p>
                          <w:p w14:paraId="64851AD9" w14:textId="77777777" w:rsidR="00D332C1" w:rsidRDefault="00D332C1" w:rsidP="00D332C1">
                            <w:pPr>
                              <w:rPr>
                                <w:rFonts w:ascii="BIZ UD明朝 Medium" w:eastAsia="BIZ UD明朝 Medium" w:hAnsi="BIZ UD明朝 Medium" w:hint="eastAsia"/>
                                <w:sz w:val="22"/>
                                <w:szCs w:val="22"/>
                              </w:rPr>
                            </w:pPr>
                          </w:p>
                          <w:p w14:paraId="6163D71D" w14:textId="77777777" w:rsidR="00D332C1" w:rsidRDefault="00D332C1" w:rsidP="00D332C1">
                            <w:pPr>
                              <w:ind w:left="210" w:hangingChars="100" w:hanging="210"/>
                              <w:rPr>
                                <w:rFonts w:ascii="BIZ UD明朝 Medium" w:eastAsia="BIZ UD明朝 Medium" w:hAnsi="BIZ UD明朝 Medium" w:hint="eastAsia"/>
                                <w:sz w:val="22"/>
                                <w:szCs w:val="22"/>
                              </w:rPr>
                            </w:pPr>
                            <w:r>
                              <w:rPr>
                                <w:rFonts w:ascii="BIZ UD明朝 Medium" w:eastAsia="BIZ UD明朝 Medium" w:hAnsi="BIZ UD明朝 Medium" w:hint="eastAsia"/>
                              </w:rPr>
                              <w:t>３</w:t>
                            </w:r>
                            <w:r>
                              <w:rPr>
                                <w:rFonts w:ascii="BIZ UD明朝 Medium" w:eastAsia="BIZ UD明朝 Medium" w:hAnsi="BIZ UD明朝 Medium" w:hint="eastAsia"/>
                                <w:sz w:val="22"/>
                                <w:szCs w:val="22"/>
                              </w:rPr>
                              <w:t>．浄化槽法第10条第1項に規定する浄化槽の保守点検及び清掃、ならびに同法第７条及び第11条に規定する水質検査（法定検査）を、適正かつ確実に実施します。</w:t>
                            </w:r>
                          </w:p>
                          <w:p w14:paraId="4E405D09" w14:textId="77777777" w:rsidR="00D332C1" w:rsidRDefault="00D332C1" w:rsidP="00D332C1">
                            <w:pPr>
                              <w:rPr>
                                <w:rFonts w:ascii="BIZ UD明朝 Medium" w:eastAsia="BIZ UD明朝 Medium" w:hAnsi="BIZ UD明朝 Medium" w:hint="eastAsia"/>
                                <w:sz w:val="22"/>
                                <w:szCs w:val="22"/>
                              </w:rPr>
                            </w:pPr>
                          </w:p>
                          <w:p w14:paraId="163DF285" w14:textId="77777777" w:rsidR="00D332C1" w:rsidRDefault="00D332C1" w:rsidP="00D332C1">
                            <w:pPr>
                              <w:rPr>
                                <w:rFonts w:ascii="BIZ UD明朝 Medium" w:eastAsia="BIZ UD明朝 Medium" w:hAnsi="BIZ UD明朝 Medium" w:hint="eastAsia"/>
                              </w:rPr>
                            </w:pPr>
                            <w:r>
                              <w:rPr>
                                <w:rFonts w:ascii="BIZ UD明朝 Medium" w:eastAsia="BIZ UD明朝 Medium" w:hAnsi="BIZ UD明朝 Medium" w:hint="eastAsia"/>
                              </w:rPr>
                              <w:t>４．浄化槽の使用を開始した場合、30日以内に浄化槽使用開始報告書を提出します。</w:t>
                            </w:r>
                          </w:p>
                          <w:p w14:paraId="618DA065" w14:textId="77777777" w:rsidR="00D332C1" w:rsidRDefault="00D332C1" w:rsidP="00D332C1">
                            <w:pPr>
                              <w:rPr>
                                <w:rFonts w:ascii="BIZ UD明朝 Medium" w:eastAsia="BIZ UD明朝 Medium" w:hAnsi="BIZ UD明朝 Medium" w:hint="eastAsia"/>
                              </w:rPr>
                            </w:pPr>
                          </w:p>
                          <w:p w14:paraId="114F38DB" w14:textId="77777777" w:rsidR="00D332C1" w:rsidRDefault="00D332C1" w:rsidP="00D332C1">
                            <w:pPr>
                              <w:rPr>
                                <w:rFonts w:ascii="BIZ UD明朝 Medium" w:eastAsia="BIZ UD明朝 Medium" w:hAnsi="BIZ UD明朝 Medium" w:hint="eastAsia"/>
                              </w:rPr>
                            </w:pPr>
                            <w:r>
                              <w:rPr>
                                <w:rFonts w:ascii="BIZ UD明朝 Medium" w:eastAsia="BIZ UD明朝 Medium" w:hAnsi="BIZ UD明朝 Medium" w:hint="eastAsia"/>
                              </w:rPr>
                              <w:t>５．設置場所において、公共下水道が整備された場合、速やかに下水道に接続します。</w:t>
                            </w:r>
                          </w:p>
                          <w:p w14:paraId="2744EE32" w14:textId="77777777" w:rsidR="00D332C1" w:rsidRDefault="00D332C1" w:rsidP="00D332C1">
                            <w:pPr>
                              <w:rPr>
                                <w:rFonts w:ascii="BIZ UD明朝 Medium" w:eastAsia="BIZ UD明朝 Medium" w:hAnsi="BIZ UD明朝 Medium" w:hint="eastAsia"/>
                              </w:rPr>
                            </w:pPr>
                          </w:p>
                          <w:p w14:paraId="1A72B654" w14:textId="77777777" w:rsidR="00D332C1" w:rsidRDefault="00D332C1" w:rsidP="00D332C1">
                            <w:pPr>
                              <w:rPr>
                                <w:rFonts w:ascii="BIZ UD明朝 Medium" w:eastAsia="BIZ UD明朝 Medium" w:hAnsi="BIZ UD明朝 Medium" w:hint="eastAsia"/>
                              </w:rPr>
                            </w:pPr>
                            <w:r>
                              <w:rPr>
                                <w:rFonts w:ascii="BIZ UD明朝 Medium" w:eastAsia="BIZ UD明朝 Medium" w:hAnsi="BIZ UD明朝 Medium" w:hint="eastAsia"/>
                              </w:rPr>
                              <w:t>６．将来、浄化槽の使用を廃止する場合、浄化槽廃止報告書により報告します。</w:t>
                            </w:r>
                          </w:p>
                          <w:p w14:paraId="3DC976E7" w14:textId="77777777" w:rsidR="00D332C1" w:rsidRDefault="00D332C1" w:rsidP="00D332C1">
                            <w:pPr>
                              <w:rPr>
                                <w:rFonts w:ascii="BIZ UD明朝 Medium" w:eastAsia="BIZ UD明朝 Medium" w:hAnsi="BIZ UD明朝 Medium" w:hint="eastAsia"/>
                              </w:rPr>
                            </w:pPr>
                          </w:p>
                          <w:p w14:paraId="74E35335" w14:textId="77777777" w:rsidR="00D332C1" w:rsidRDefault="00D332C1" w:rsidP="00D332C1">
                            <w:pPr>
                              <w:ind w:left="210" w:hangingChars="100" w:hanging="210"/>
                              <w:rPr>
                                <w:rFonts w:ascii="BIZ UD明朝 Medium" w:eastAsia="BIZ UD明朝 Medium" w:hAnsi="BIZ UD明朝 Medium" w:hint="eastAsia"/>
                              </w:rPr>
                            </w:pPr>
                            <w:r>
                              <w:rPr>
                                <w:rFonts w:ascii="BIZ UD明朝 Medium" w:eastAsia="BIZ UD明朝 Medium" w:hAnsi="BIZ UD明朝 Medium" w:hint="eastAsia"/>
                              </w:rPr>
                              <w:t>７．浄化槽を管理する者が変更する場合、変更後の管理者に浄化槽管理者変更報告書を提出してもらうとともに、この誓約書について必ず継承いたします。</w:t>
                            </w:r>
                          </w:p>
                          <w:p w14:paraId="4FFC098B" w14:textId="77777777" w:rsidR="00D332C1" w:rsidRDefault="00D332C1" w:rsidP="00D332C1">
                            <w:pPr>
                              <w:rPr>
                                <w:rFonts w:hint="eastAsia"/>
                              </w:rPr>
                            </w:pPr>
                          </w:p>
                          <w:p w14:paraId="13070BEA" w14:textId="77777777" w:rsidR="00D332C1" w:rsidRDefault="00D332C1" w:rsidP="00D332C1">
                            <w:pPr>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595BEB" id="四角形: 角を丸くする 1" o:spid="_x0000_s1026" style="position:absolute;left:0;text-align:left;margin-left:3.8pt;margin-top:1.8pt;width:451.65pt;height:38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6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">
                <v:textbox inset="5.85pt,.7pt,5.85pt,.7pt">
                  <w:txbxContent>
                    <w:p w14:paraId="5F2833C4" w14:textId="77777777" w:rsidR="00D332C1" w:rsidRDefault="00D332C1" w:rsidP="00D332C1">
                      <w:pPr>
                        <w:ind w:left="220" w:hangingChars="100" w:hanging="220"/>
                        <w:rPr>
                          <w:rFonts w:ascii="BIZ UD明朝 Medium" w:eastAsia="BIZ UD明朝 Medium" w:hAnsi="BIZ UD明朝 Medium"/>
                          <w:sz w:val="22"/>
                          <w:szCs w:val="22"/>
                        </w:rPr>
                      </w:pPr>
                      <w:r>
                        <w:rPr>
                          <w:rFonts w:ascii="BIZ UD明朝 Medium" w:eastAsia="BIZ UD明朝 Medium" w:hAnsi="BIZ UD明朝 Medium" w:hint="eastAsia"/>
                          <w:sz w:val="22"/>
                          <w:szCs w:val="22"/>
                        </w:rPr>
                        <w:t>１．放流先に水利権等がある場合は、あらかじめ当該水利権者等の同意を受けるとともに、放流水に係る紛争又は苦情があった場合は、当事者間において責任をもって解決します。</w:t>
                      </w:r>
                    </w:p>
                    <w:p w14:paraId="2456D300" w14:textId="77777777" w:rsidR="00D332C1" w:rsidRDefault="00D332C1" w:rsidP="00D332C1">
                      <w:pPr>
                        <w:rPr>
                          <w:rFonts w:ascii="BIZ UD明朝 Medium" w:eastAsia="BIZ UD明朝 Medium" w:hAnsi="BIZ UD明朝 Medium" w:hint="eastAsia"/>
                          <w:sz w:val="22"/>
                          <w:szCs w:val="22"/>
                        </w:rPr>
                      </w:pPr>
                    </w:p>
                    <w:p w14:paraId="31E976F3" w14:textId="77777777" w:rsidR="00D332C1" w:rsidRDefault="00D332C1" w:rsidP="00D332C1">
                      <w:pPr>
                        <w:ind w:left="220" w:hangingChars="100" w:hanging="220"/>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２．その他、浄化槽に起因する問題が生じた場合は、設置者の責任において適切に改善します。</w:t>
                      </w:r>
                    </w:p>
                    <w:p w14:paraId="64851AD9" w14:textId="77777777" w:rsidR="00D332C1" w:rsidRDefault="00D332C1" w:rsidP="00D332C1">
                      <w:pPr>
                        <w:rPr>
                          <w:rFonts w:ascii="BIZ UD明朝 Medium" w:eastAsia="BIZ UD明朝 Medium" w:hAnsi="BIZ UD明朝 Medium" w:hint="eastAsia"/>
                          <w:sz w:val="22"/>
                          <w:szCs w:val="22"/>
                        </w:rPr>
                      </w:pPr>
                    </w:p>
                    <w:p w14:paraId="6163D71D" w14:textId="77777777" w:rsidR="00D332C1" w:rsidRDefault="00D332C1" w:rsidP="00D332C1">
                      <w:pPr>
                        <w:ind w:left="210" w:hangingChars="100" w:hanging="210"/>
                        <w:rPr>
                          <w:rFonts w:ascii="BIZ UD明朝 Medium" w:eastAsia="BIZ UD明朝 Medium" w:hAnsi="BIZ UD明朝 Medium" w:hint="eastAsia"/>
                          <w:sz w:val="22"/>
                          <w:szCs w:val="22"/>
                        </w:rPr>
                      </w:pPr>
                      <w:r>
                        <w:rPr>
                          <w:rFonts w:ascii="BIZ UD明朝 Medium" w:eastAsia="BIZ UD明朝 Medium" w:hAnsi="BIZ UD明朝 Medium" w:hint="eastAsia"/>
                        </w:rPr>
                        <w:t>３</w:t>
                      </w:r>
                      <w:r>
                        <w:rPr>
                          <w:rFonts w:ascii="BIZ UD明朝 Medium" w:eastAsia="BIZ UD明朝 Medium" w:hAnsi="BIZ UD明朝 Medium" w:hint="eastAsia"/>
                          <w:sz w:val="22"/>
                          <w:szCs w:val="22"/>
                        </w:rPr>
                        <w:t>．浄化槽法第10条第1項に規定する浄化槽の保守点検及び清掃、ならびに同法第７条及び第11条に規定する水質検査（法定検査）を、適正かつ確実に実施します。</w:t>
                      </w:r>
                    </w:p>
                    <w:p w14:paraId="4E405D09" w14:textId="77777777" w:rsidR="00D332C1" w:rsidRDefault="00D332C1" w:rsidP="00D332C1">
                      <w:pPr>
                        <w:rPr>
                          <w:rFonts w:ascii="BIZ UD明朝 Medium" w:eastAsia="BIZ UD明朝 Medium" w:hAnsi="BIZ UD明朝 Medium" w:hint="eastAsia"/>
                          <w:sz w:val="22"/>
                          <w:szCs w:val="22"/>
                        </w:rPr>
                      </w:pPr>
                    </w:p>
                    <w:p w14:paraId="163DF285" w14:textId="77777777" w:rsidR="00D332C1" w:rsidRDefault="00D332C1" w:rsidP="00D332C1">
                      <w:pPr>
                        <w:rPr>
                          <w:rFonts w:ascii="BIZ UD明朝 Medium" w:eastAsia="BIZ UD明朝 Medium" w:hAnsi="BIZ UD明朝 Medium" w:hint="eastAsia"/>
                        </w:rPr>
                      </w:pPr>
                      <w:r>
                        <w:rPr>
                          <w:rFonts w:ascii="BIZ UD明朝 Medium" w:eastAsia="BIZ UD明朝 Medium" w:hAnsi="BIZ UD明朝 Medium" w:hint="eastAsia"/>
                        </w:rPr>
                        <w:t>４．浄化槽の使用を開始した場合、30日以内に浄化槽使用開始報告書を提出します。</w:t>
                      </w:r>
                    </w:p>
                    <w:p w14:paraId="618DA065" w14:textId="77777777" w:rsidR="00D332C1" w:rsidRDefault="00D332C1" w:rsidP="00D332C1">
                      <w:pPr>
                        <w:rPr>
                          <w:rFonts w:ascii="BIZ UD明朝 Medium" w:eastAsia="BIZ UD明朝 Medium" w:hAnsi="BIZ UD明朝 Medium" w:hint="eastAsia"/>
                        </w:rPr>
                      </w:pPr>
                    </w:p>
                    <w:p w14:paraId="114F38DB" w14:textId="77777777" w:rsidR="00D332C1" w:rsidRDefault="00D332C1" w:rsidP="00D332C1">
                      <w:pPr>
                        <w:rPr>
                          <w:rFonts w:ascii="BIZ UD明朝 Medium" w:eastAsia="BIZ UD明朝 Medium" w:hAnsi="BIZ UD明朝 Medium" w:hint="eastAsia"/>
                        </w:rPr>
                      </w:pPr>
                      <w:r>
                        <w:rPr>
                          <w:rFonts w:ascii="BIZ UD明朝 Medium" w:eastAsia="BIZ UD明朝 Medium" w:hAnsi="BIZ UD明朝 Medium" w:hint="eastAsia"/>
                        </w:rPr>
                        <w:t>５．設置場所において、公共下水道が整備された場合、速やかに下水道に接続します。</w:t>
                      </w:r>
                    </w:p>
                    <w:p w14:paraId="2744EE32" w14:textId="77777777" w:rsidR="00D332C1" w:rsidRDefault="00D332C1" w:rsidP="00D332C1">
                      <w:pPr>
                        <w:rPr>
                          <w:rFonts w:ascii="BIZ UD明朝 Medium" w:eastAsia="BIZ UD明朝 Medium" w:hAnsi="BIZ UD明朝 Medium" w:hint="eastAsia"/>
                        </w:rPr>
                      </w:pPr>
                    </w:p>
                    <w:p w14:paraId="1A72B654" w14:textId="77777777" w:rsidR="00D332C1" w:rsidRDefault="00D332C1" w:rsidP="00D332C1">
                      <w:pPr>
                        <w:rPr>
                          <w:rFonts w:ascii="BIZ UD明朝 Medium" w:eastAsia="BIZ UD明朝 Medium" w:hAnsi="BIZ UD明朝 Medium" w:hint="eastAsia"/>
                        </w:rPr>
                      </w:pPr>
                      <w:r>
                        <w:rPr>
                          <w:rFonts w:ascii="BIZ UD明朝 Medium" w:eastAsia="BIZ UD明朝 Medium" w:hAnsi="BIZ UD明朝 Medium" w:hint="eastAsia"/>
                        </w:rPr>
                        <w:t>６．将来、浄化槽の使用を廃止する場合、浄化槽廃止報告書により報告します。</w:t>
                      </w:r>
                    </w:p>
                    <w:p w14:paraId="3DC976E7" w14:textId="77777777" w:rsidR="00D332C1" w:rsidRDefault="00D332C1" w:rsidP="00D332C1">
                      <w:pPr>
                        <w:rPr>
                          <w:rFonts w:ascii="BIZ UD明朝 Medium" w:eastAsia="BIZ UD明朝 Medium" w:hAnsi="BIZ UD明朝 Medium" w:hint="eastAsia"/>
                        </w:rPr>
                      </w:pPr>
                    </w:p>
                    <w:p w14:paraId="74E35335" w14:textId="77777777" w:rsidR="00D332C1" w:rsidRDefault="00D332C1" w:rsidP="00D332C1">
                      <w:pPr>
                        <w:ind w:left="210" w:hangingChars="100" w:hanging="210"/>
                        <w:rPr>
                          <w:rFonts w:ascii="BIZ UD明朝 Medium" w:eastAsia="BIZ UD明朝 Medium" w:hAnsi="BIZ UD明朝 Medium" w:hint="eastAsia"/>
                        </w:rPr>
                      </w:pPr>
                      <w:r>
                        <w:rPr>
                          <w:rFonts w:ascii="BIZ UD明朝 Medium" w:eastAsia="BIZ UD明朝 Medium" w:hAnsi="BIZ UD明朝 Medium" w:hint="eastAsia"/>
                        </w:rPr>
                        <w:t>７．浄化槽を管理する者が変更する場合、変更後の管理者に浄化槽管理者変更報告書を提出してもらうとともに、この誓約書について必ず継承いたします。</w:t>
                      </w:r>
                    </w:p>
                    <w:p w14:paraId="4FFC098B" w14:textId="77777777" w:rsidR="00D332C1" w:rsidRDefault="00D332C1" w:rsidP="00D332C1">
                      <w:pPr>
                        <w:rPr>
                          <w:rFonts w:hint="eastAsia"/>
                        </w:rPr>
                      </w:pPr>
                    </w:p>
                    <w:p w14:paraId="13070BEA" w14:textId="77777777" w:rsidR="00D332C1" w:rsidRDefault="00D332C1" w:rsidP="00D332C1">
                      <w:pPr>
                        <w:rPr>
                          <w:rFonts w:hint="eastAsia"/>
                        </w:rPr>
                      </w:pPr>
                    </w:p>
                  </w:txbxContent>
                </v:textbox>
              </v:roundrect>
            </w:pict>
          </mc:Fallback>
        </mc:AlternateContent>
      </w:r>
    </w:p>
    <w:p w14:paraId="2C48F39A" w14:textId="31476BA3" w:rsidR="00D6629F" w:rsidRDefault="00D6629F" w:rsidP="00D332C1"/>
    <w:sectPr w:rsidR="00D6629F" w:rsidSect="00D332C1">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542"/>
    <w:rsid w:val="00B63542"/>
    <w:rsid w:val="00D332C1"/>
    <w:rsid w:val="00D66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F90C81"/>
  <w15:chartTrackingRefBased/>
  <w15:docId w15:val="{DBC767A3-61DB-4581-BDBD-F9EC60785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明朝 Medium" w:eastAsia="BIZ UD明朝 Medium" w:hAnsi="BIZ UD明朝 Medium"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32C1"/>
    <w:pPr>
      <w:widowControl w:val="0"/>
      <w:overflowPunct w:val="0"/>
      <w:jc w:val="both"/>
    </w:pPr>
    <w:rPr>
      <w:rFonts w:ascii="ＭＳ 明朝" w:eastAsia="ＭＳ 明朝" w:hAnsi="ＭＳ 明朝" w:cs="ＭＳ 明朝"/>
      <w:color w:val="000000"/>
      <w:kern w:val="0"/>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Words>
  <Characters>130</Characters>
  <Application>Microsoft Office Word</Application>
  <DocSecurity>0</DocSecurity>
  <Lines>1</Lines>
  <Paragraphs>1</Paragraphs>
  <ScaleCrop>false</ScaleCrop>
  <Company/>
  <LinksUpToDate>false</LinksUpToDate>
  <CharactersWithSpaces>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2025-03-31T07:41:00Z</dcterms:created>
  <dcterms:modified xsi:type="dcterms:W3CDTF">2025-03-31T07:41:00Z</dcterms:modified>
</cp:coreProperties>
</file>