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6F12" w14:textId="77777777" w:rsidR="00701CC0" w:rsidRPr="00FF2815" w:rsidRDefault="00701CC0">
      <w:pPr>
        <w:autoSpaceDE w:val="0"/>
        <w:autoSpaceDN w:val="0"/>
        <w:adjustRightInd w:val="0"/>
        <w:spacing w:line="487" w:lineRule="atLeast"/>
        <w:ind w:left="642"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○いわき市本社機能移転等事業者支援条例</w:t>
      </w:r>
    </w:p>
    <w:p w14:paraId="694003A4" w14:textId="77777777" w:rsidR="00701CC0" w:rsidRPr="00FF2815" w:rsidRDefault="00701CC0">
      <w:pPr>
        <w:autoSpaceDE w:val="0"/>
        <w:autoSpaceDN w:val="0"/>
        <w:adjustRightInd w:val="0"/>
        <w:spacing w:line="487" w:lineRule="atLeast"/>
        <w:jc w:val="right"/>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平成</w:t>
      </w:r>
      <w:r w:rsidRPr="00FF2815">
        <w:rPr>
          <w:rFonts w:ascii="ＭＳ 明朝" w:eastAsia="ＭＳ 明朝" w:cs="ＭＳ 明朝"/>
          <w:spacing w:val="2"/>
          <w:kern w:val="0"/>
          <w:szCs w:val="21"/>
          <w:lang w:val="ja-JP"/>
        </w:rPr>
        <w:t>29</w:t>
      </w:r>
      <w:r w:rsidRPr="00FF2815">
        <w:rPr>
          <w:rFonts w:ascii="ＭＳ 明朝" w:eastAsia="ＭＳ 明朝" w:cs="ＭＳ 明朝" w:hint="eastAsia"/>
          <w:spacing w:val="2"/>
          <w:kern w:val="0"/>
          <w:szCs w:val="21"/>
          <w:lang w:val="ja-JP"/>
        </w:rPr>
        <w:t>年３月</w:t>
      </w:r>
      <w:r w:rsidRPr="00FF2815">
        <w:rPr>
          <w:rFonts w:ascii="ＭＳ 明朝" w:eastAsia="ＭＳ 明朝" w:cs="ＭＳ 明朝"/>
          <w:spacing w:val="2"/>
          <w:kern w:val="0"/>
          <w:szCs w:val="21"/>
          <w:lang w:val="ja-JP"/>
        </w:rPr>
        <w:t>30</w:t>
      </w:r>
      <w:r w:rsidRPr="00FF2815">
        <w:rPr>
          <w:rFonts w:ascii="ＭＳ 明朝" w:eastAsia="ＭＳ 明朝" w:cs="ＭＳ 明朝" w:hint="eastAsia"/>
          <w:spacing w:val="2"/>
          <w:kern w:val="0"/>
          <w:szCs w:val="21"/>
          <w:lang w:val="ja-JP"/>
        </w:rPr>
        <w:t>日いわき市条例第７号</w:t>
      </w:r>
    </w:p>
    <w:p w14:paraId="57D89F64" w14:textId="77777777" w:rsidR="00701CC0" w:rsidRPr="00FF2815" w:rsidRDefault="00701CC0">
      <w:pPr>
        <w:autoSpaceDE w:val="0"/>
        <w:autoSpaceDN w:val="0"/>
        <w:adjustRightInd w:val="0"/>
        <w:spacing w:line="487" w:lineRule="atLeast"/>
        <w:ind w:left="1712"/>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改正</w:t>
      </w:r>
    </w:p>
    <w:p w14:paraId="2C679FFD" w14:textId="77777777" w:rsidR="00701CC0" w:rsidRPr="00FF2815" w:rsidRDefault="00701CC0">
      <w:pPr>
        <w:autoSpaceDE w:val="0"/>
        <w:autoSpaceDN w:val="0"/>
        <w:adjustRightInd w:val="0"/>
        <w:spacing w:line="487" w:lineRule="atLeast"/>
        <w:ind w:left="2568"/>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平成</w:t>
      </w:r>
      <w:r w:rsidRPr="00FF2815">
        <w:rPr>
          <w:rFonts w:ascii="ＭＳ 明朝" w:eastAsia="ＭＳ 明朝" w:cs="ＭＳ 明朝"/>
          <w:spacing w:val="2"/>
          <w:kern w:val="0"/>
          <w:szCs w:val="21"/>
          <w:lang w:val="ja-JP"/>
        </w:rPr>
        <w:t>30</w:t>
      </w:r>
      <w:r w:rsidRPr="00FF2815">
        <w:rPr>
          <w:rFonts w:ascii="ＭＳ 明朝" w:eastAsia="ＭＳ 明朝" w:cs="ＭＳ 明朝" w:hint="eastAsia"/>
          <w:spacing w:val="2"/>
          <w:kern w:val="0"/>
          <w:szCs w:val="21"/>
          <w:lang w:val="ja-JP"/>
        </w:rPr>
        <w:t>年</w:t>
      </w:r>
      <w:r w:rsidRPr="00FF2815">
        <w:rPr>
          <w:rFonts w:ascii="ＭＳ 明朝" w:eastAsia="ＭＳ 明朝" w:cs="ＭＳ 明朝"/>
          <w:spacing w:val="2"/>
          <w:kern w:val="0"/>
          <w:szCs w:val="21"/>
          <w:lang w:val="ja-JP"/>
        </w:rPr>
        <w:t>10</w:t>
      </w:r>
      <w:r w:rsidRPr="00FF2815">
        <w:rPr>
          <w:rFonts w:ascii="ＭＳ 明朝" w:eastAsia="ＭＳ 明朝" w:cs="ＭＳ 明朝" w:hint="eastAsia"/>
          <w:spacing w:val="2"/>
          <w:kern w:val="0"/>
          <w:szCs w:val="21"/>
          <w:lang w:val="ja-JP"/>
        </w:rPr>
        <w:t>月１日いわき市条例第</w:t>
      </w:r>
      <w:r w:rsidRPr="00FF2815">
        <w:rPr>
          <w:rFonts w:ascii="ＭＳ 明朝" w:eastAsia="ＭＳ 明朝" w:cs="ＭＳ 明朝"/>
          <w:spacing w:val="2"/>
          <w:kern w:val="0"/>
          <w:szCs w:val="21"/>
          <w:lang w:val="ja-JP"/>
        </w:rPr>
        <w:t>59</w:t>
      </w:r>
      <w:r w:rsidRPr="00FF2815">
        <w:rPr>
          <w:rFonts w:ascii="ＭＳ 明朝" w:eastAsia="ＭＳ 明朝" w:cs="ＭＳ 明朝" w:hint="eastAsia"/>
          <w:spacing w:val="2"/>
          <w:kern w:val="0"/>
          <w:szCs w:val="21"/>
          <w:lang w:val="ja-JP"/>
        </w:rPr>
        <w:t>号</w:t>
      </w:r>
    </w:p>
    <w:p w14:paraId="1E716C87" w14:textId="77777777" w:rsidR="00701CC0" w:rsidRPr="00FF2815" w:rsidRDefault="00701CC0">
      <w:pPr>
        <w:autoSpaceDE w:val="0"/>
        <w:autoSpaceDN w:val="0"/>
        <w:adjustRightInd w:val="0"/>
        <w:spacing w:line="487" w:lineRule="atLeast"/>
        <w:ind w:left="642"/>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いわき市本社機能移転等事業者支援条例</w:t>
      </w:r>
    </w:p>
    <w:p w14:paraId="005D32B1"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（目的）</w:t>
      </w:r>
    </w:p>
    <w:p w14:paraId="126E53E5"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第１条</w:t>
      </w:r>
      <w:r w:rsidRPr="00FF2815">
        <w:rPr>
          <w:rFonts w:ascii="ＭＳ 明朝" w:eastAsia="ＭＳ 明朝" w:cs="ＭＳ 明朝" w:hint="eastAsia"/>
          <w:spacing w:val="2"/>
          <w:kern w:val="0"/>
          <w:szCs w:val="21"/>
          <w:lang w:val="ja-JP"/>
        </w:rPr>
        <w:t xml:space="preserve">　この条例は、市の地方活力向上地域において本社機能の移転等事業を実施した者に対し奨励金を交付することにより、その者の事業を支援し、もって市のまち・ひと・しごとの創生に資することを目的とする。</w:t>
      </w:r>
    </w:p>
    <w:p w14:paraId="2D953663"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（定義）</w:t>
      </w:r>
    </w:p>
    <w:p w14:paraId="50542CAB"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第２条</w:t>
      </w:r>
      <w:r w:rsidRPr="00FF2815">
        <w:rPr>
          <w:rFonts w:ascii="ＭＳ 明朝" w:eastAsia="ＭＳ 明朝" w:cs="ＭＳ 明朝" w:hint="eastAsia"/>
          <w:spacing w:val="2"/>
          <w:kern w:val="0"/>
          <w:szCs w:val="21"/>
          <w:lang w:val="ja-JP"/>
        </w:rPr>
        <w:t xml:space="preserve">　この条例において、次の各号に掲げる用語の意義は、それぞれ当該各号に定めるところによる。</w:t>
      </w:r>
    </w:p>
    <w:p w14:paraId="48426AB8"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１</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地方活力向上地域　地域再生法（平成</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年法律第</w:t>
      </w:r>
      <w:r w:rsidRPr="00FF2815">
        <w:rPr>
          <w:rFonts w:ascii="ＭＳ 明朝" w:eastAsia="ＭＳ 明朝" w:cs="ＭＳ 明朝"/>
          <w:spacing w:val="2"/>
          <w:kern w:val="0"/>
          <w:szCs w:val="21"/>
          <w:lang w:val="ja-JP"/>
        </w:rPr>
        <w:t>24</w:t>
      </w:r>
      <w:r w:rsidRPr="00FF2815">
        <w:rPr>
          <w:rFonts w:ascii="ＭＳ 明朝" w:eastAsia="ＭＳ 明朝" w:cs="ＭＳ 明朝" w:hint="eastAsia"/>
          <w:spacing w:val="2"/>
          <w:kern w:val="0"/>
          <w:szCs w:val="21"/>
          <w:lang w:val="ja-JP"/>
        </w:rPr>
        <w:t>号。以下「法」という。）第５条第</w:t>
      </w:r>
      <w:r w:rsidRPr="00FF2815">
        <w:rPr>
          <w:rFonts w:ascii="ＭＳ 明朝" w:eastAsia="ＭＳ 明朝" w:cs="ＭＳ 明朝"/>
          <w:spacing w:val="2"/>
          <w:kern w:val="0"/>
          <w:szCs w:val="21"/>
          <w:lang w:val="ja-JP"/>
        </w:rPr>
        <w:t>15</w:t>
      </w:r>
      <w:r w:rsidRPr="00FF2815">
        <w:rPr>
          <w:rFonts w:ascii="ＭＳ 明朝" w:eastAsia="ＭＳ 明朝" w:cs="ＭＳ 明朝" w:hint="eastAsia"/>
          <w:spacing w:val="2"/>
          <w:kern w:val="0"/>
          <w:szCs w:val="21"/>
          <w:lang w:val="ja-JP"/>
        </w:rPr>
        <w:t>項（法第７条第２項において準用する場合を含む。）の規定による認定を受けた福島県の地域再生計画（法第５条第１項の地域再生計画をいう。）に記載されている同条第４項第５号イに規定する地方活力向上地域をいう。</w:t>
      </w:r>
    </w:p>
    <w:p w14:paraId="37050370"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２</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認定事業者　法第</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条の２第１項に規定する地方活力向上地域等特定業務施設整備計画を作成し、それについて同条第３項（同条第５項において準用する場合を含む。次号において同じ。）の規定により福島県知事の認定を受けた事業者（市長が規則で定める者を除く。）をいう。</w:t>
      </w:r>
    </w:p>
    <w:p w14:paraId="5661BD6C"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３</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認定地方活力向上地域等特定業務施設整備計画　法第</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条の２第３項の規定による認定を受けた同条第１項に規定する地方活力向上地域等特定業務施設整備計画をいう。</w:t>
      </w:r>
    </w:p>
    <w:p w14:paraId="7EACBAFD"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４</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本社機能の移転等事業　認定事業者が認定地方活力向上地域等特定業務施設整備計画に従って行う法第</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条の２第１項各号に掲げる事業をいう。</w:t>
      </w:r>
    </w:p>
    <w:p w14:paraId="438E652F"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（奨励金）</w:t>
      </w:r>
    </w:p>
    <w:p w14:paraId="48CC9DDB"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第３条</w:t>
      </w:r>
      <w:r w:rsidRPr="00FF2815">
        <w:rPr>
          <w:rFonts w:ascii="ＭＳ 明朝" w:eastAsia="ＭＳ 明朝" w:cs="ＭＳ 明朝" w:hint="eastAsia"/>
          <w:spacing w:val="2"/>
          <w:kern w:val="0"/>
          <w:szCs w:val="21"/>
          <w:lang w:val="ja-JP"/>
        </w:rPr>
        <w:t xml:space="preserve">　市長は、市の地方活力向上地域において本社機能の移転等事業を実施した認定事業者（以下「事業者」という。）に対し、次の各号に掲げる期間に応じ、当該各号に定める奨励金を交付することができる。</w:t>
      </w:r>
    </w:p>
    <w:p w14:paraId="6CD0B5F8"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１</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事業者の地域再生法施行規則（平成</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年内閣府令第</w:t>
      </w:r>
      <w:r w:rsidRPr="00FF2815">
        <w:rPr>
          <w:rFonts w:ascii="ＭＳ 明朝" w:eastAsia="ＭＳ 明朝" w:cs="ＭＳ 明朝"/>
          <w:spacing w:val="2"/>
          <w:kern w:val="0"/>
          <w:szCs w:val="21"/>
          <w:lang w:val="ja-JP"/>
        </w:rPr>
        <w:t>53</w:t>
      </w:r>
      <w:r w:rsidRPr="00FF2815">
        <w:rPr>
          <w:rFonts w:ascii="ＭＳ 明朝" w:eastAsia="ＭＳ 明朝" w:cs="ＭＳ 明朝" w:hint="eastAsia"/>
          <w:spacing w:val="2"/>
          <w:kern w:val="0"/>
          <w:szCs w:val="21"/>
          <w:lang w:val="ja-JP"/>
        </w:rPr>
        <w:t>号）第</w:t>
      </w:r>
      <w:r w:rsidRPr="00FF2815">
        <w:rPr>
          <w:rFonts w:ascii="ＭＳ 明朝" w:eastAsia="ＭＳ 明朝" w:cs="ＭＳ 明朝"/>
          <w:spacing w:val="2"/>
          <w:kern w:val="0"/>
          <w:szCs w:val="21"/>
          <w:lang w:val="ja-JP"/>
        </w:rPr>
        <w:t>36</w:t>
      </w:r>
      <w:r w:rsidRPr="00FF2815">
        <w:rPr>
          <w:rFonts w:ascii="ＭＳ 明朝" w:eastAsia="ＭＳ 明朝" w:cs="ＭＳ 明朝" w:hint="eastAsia"/>
          <w:spacing w:val="2"/>
          <w:kern w:val="0"/>
          <w:szCs w:val="21"/>
          <w:lang w:val="ja-JP"/>
        </w:rPr>
        <w:t>条第１項の規定による実施状況の報告（本社機能の移転等事業を完了して行うものに限る。）が福島県知事に受理された日の翌日（以下「基準日」という。）から始まる１年の期間　第１期本社機能移転等事業者奨励金</w:t>
      </w:r>
    </w:p>
    <w:p w14:paraId="1DE1DC03"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lastRenderedPageBreak/>
        <w:t>(</w:t>
      </w:r>
      <w:r w:rsidRPr="00FF2815">
        <w:rPr>
          <w:rFonts w:ascii="ＭＳ 明朝" w:eastAsia="ＭＳ 明朝" w:cs="ＭＳ 明朝" w:hint="eastAsia"/>
          <w:spacing w:val="2"/>
          <w:kern w:val="0"/>
          <w:szCs w:val="21"/>
          <w:lang w:val="ja-JP"/>
        </w:rPr>
        <w:t>２</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基準日から起算して１年を経過する日から始まる１年の期間　第２期本社機能移転等事業者奨励金</w:t>
      </w:r>
    </w:p>
    <w:p w14:paraId="7CC22EBC"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３</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基準日から起算して２年を経過する日から始まる１年の期間　第３期本社機能移転等事業者奨励金</w:t>
      </w:r>
    </w:p>
    <w:p w14:paraId="4087E5B9"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２　前項各号に定める奨励金（以下単に「奨励金」という。）の額は、それぞれ、同項各号に掲げる期間にわたり当該事業者が認定地方活力向上地域等特定業務施設整備計画に従って整備した法第５条第４項第５号の特定業務施設において常時雇用する従業員１人につき</w:t>
      </w:r>
      <w:r w:rsidRPr="00FF2815">
        <w:rPr>
          <w:rFonts w:ascii="ＭＳ 明朝" w:eastAsia="ＭＳ 明朝" w:cs="ＭＳ 明朝"/>
          <w:spacing w:val="2"/>
          <w:kern w:val="0"/>
          <w:szCs w:val="21"/>
          <w:lang w:val="ja-JP"/>
        </w:rPr>
        <w:t>200</w:t>
      </w:r>
      <w:r w:rsidRPr="00FF2815">
        <w:rPr>
          <w:rFonts w:ascii="ＭＳ 明朝" w:eastAsia="ＭＳ 明朝" w:cs="ＭＳ 明朝" w:hint="eastAsia"/>
          <w:spacing w:val="2"/>
          <w:kern w:val="0"/>
          <w:szCs w:val="21"/>
          <w:lang w:val="ja-JP"/>
        </w:rPr>
        <w:t>万円を乗じて得た額とする。この場合において、当該従業員の数は、当該事業者の認定地方活力向上地域等特定業務施設整備計画に定める常時雇用する従業員の数を上限とする。</w:t>
      </w:r>
    </w:p>
    <w:p w14:paraId="3884B4C3"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３　奨励金は、その交付に係る事業者の事業について、他の条例、規則その他の規程による市の補助金等が交付される場合においては、これを交付しないものとする。</w:t>
      </w:r>
    </w:p>
    <w:p w14:paraId="56176C6A"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（奨励金の交付申請等）</w:t>
      </w:r>
    </w:p>
    <w:p w14:paraId="5BA6F499"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第４条</w:t>
      </w:r>
      <w:r w:rsidRPr="00FF2815">
        <w:rPr>
          <w:rFonts w:ascii="ＭＳ 明朝" w:eastAsia="ＭＳ 明朝" w:cs="ＭＳ 明朝" w:hint="eastAsia"/>
          <w:spacing w:val="2"/>
          <w:kern w:val="0"/>
          <w:szCs w:val="21"/>
          <w:lang w:val="ja-JP"/>
        </w:rPr>
        <w:t xml:space="preserve">　奨励金の交付を受けようとする事業者は、次の各号に掲げる奨励金の区分に応じ、当該各号に定める期間に申請しなければならない。</w:t>
      </w:r>
    </w:p>
    <w:p w14:paraId="2F028679"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１</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第１期本社機能移転等事業者奨励金　基準日から起算して</w:t>
      </w:r>
      <w:r w:rsidRPr="00FF2815">
        <w:rPr>
          <w:rFonts w:ascii="ＭＳ 明朝" w:eastAsia="ＭＳ 明朝" w:cs="ＭＳ 明朝"/>
          <w:spacing w:val="2"/>
          <w:kern w:val="0"/>
          <w:szCs w:val="21"/>
          <w:lang w:val="ja-JP"/>
        </w:rPr>
        <w:t>90</w:t>
      </w:r>
      <w:r w:rsidRPr="00FF2815">
        <w:rPr>
          <w:rFonts w:ascii="ＭＳ 明朝" w:eastAsia="ＭＳ 明朝" w:cs="ＭＳ 明朝" w:hint="eastAsia"/>
          <w:spacing w:val="2"/>
          <w:kern w:val="0"/>
          <w:szCs w:val="21"/>
          <w:lang w:val="ja-JP"/>
        </w:rPr>
        <w:t>日以内</w:t>
      </w:r>
    </w:p>
    <w:p w14:paraId="0EED9139"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２</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第２期本社機能移転等事業者奨励金　基準日から起算して１年を経過する日以後</w:t>
      </w:r>
      <w:r w:rsidRPr="00FF2815">
        <w:rPr>
          <w:rFonts w:ascii="ＭＳ 明朝" w:eastAsia="ＭＳ 明朝" w:cs="ＭＳ 明朝"/>
          <w:spacing w:val="2"/>
          <w:kern w:val="0"/>
          <w:szCs w:val="21"/>
          <w:lang w:val="ja-JP"/>
        </w:rPr>
        <w:t>90</w:t>
      </w:r>
      <w:r w:rsidRPr="00FF2815">
        <w:rPr>
          <w:rFonts w:ascii="ＭＳ 明朝" w:eastAsia="ＭＳ 明朝" w:cs="ＭＳ 明朝" w:hint="eastAsia"/>
          <w:spacing w:val="2"/>
          <w:kern w:val="0"/>
          <w:szCs w:val="21"/>
          <w:lang w:val="ja-JP"/>
        </w:rPr>
        <w:t>日以内</w:t>
      </w:r>
    </w:p>
    <w:p w14:paraId="4AE8F333"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３</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第３期本社機能移転等事業者奨励金　基準日から起算して２年を経過する日以後</w:t>
      </w:r>
      <w:r w:rsidRPr="00FF2815">
        <w:rPr>
          <w:rFonts w:ascii="ＭＳ 明朝" w:eastAsia="ＭＳ 明朝" w:cs="ＭＳ 明朝"/>
          <w:spacing w:val="2"/>
          <w:kern w:val="0"/>
          <w:szCs w:val="21"/>
          <w:lang w:val="ja-JP"/>
        </w:rPr>
        <w:t>90</w:t>
      </w:r>
      <w:r w:rsidRPr="00FF2815">
        <w:rPr>
          <w:rFonts w:ascii="ＭＳ 明朝" w:eastAsia="ＭＳ 明朝" w:cs="ＭＳ 明朝" w:hint="eastAsia"/>
          <w:spacing w:val="2"/>
          <w:kern w:val="0"/>
          <w:szCs w:val="21"/>
          <w:lang w:val="ja-JP"/>
        </w:rPr>
        <w:t>日以内</w:t>
      </w:r>
    </w:p>
    <w:p w14:paraId="65C6CDE8"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２　市長は、前項の規定による申請があったときは、当該申請に係る奨励金の前条第１項各号に掲げる期間が経過した後に、当該奨励金の交付の可否を決定し、その旨を当該申請をした事業者に通知するものとする。</w:t>
      </w:r>
    </w:p>
    <w:p w14:paraId="16D62A14"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（奨励金の交付決定の取消し）</w:t>
      </w:r>
    </w:p>
    <w:p w14:paraId="31191137"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第５条</w:t>
      </w:r>
      <w:r w:rsidRPr="00FF2815">
        <w:rPr>
          <w:rFonts w:ascii="ＭＳ 明朝" w:eastAsia="ＭＳ 明朝" w:cs="ＭＳ 明朝" w:hint="eastAsia"/>
          <w:spacing w:val="2"/>
          <w:kern w:val="0"/>
          <w:szCs w:val="21"/>
          <w:lang w:val="ja-JP"/>
        </w:rPr>
        <w:t xml:space="preserve">　市長は、奨励金の交付の決定を受けた事業者が次の各号のいずれかに該当することとなったときは、奨励金の交付の決定を取り消し、既に交付した奨励金があるときは、その全部又は一部を返還させることができる。</w:t>
      </w:r>
    </w:p>
    <w:p w14:paraId="29B63D8E"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１</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法第</w:t>
      </w:r>
      <w:r w:rsidRPr="00FF2815">
        <w:rPr>
          <w:rFonts w:ascii="ＭＳ 明朝" w:eastAsia="ＭＳ 明朝" w:cs="ＭＳ 明朝"/>
          <w:spacing w:val="2"/>
          <w:kern w:val="0"/>
          <w:szCs w:val="21"/>
          <w:lang w:val="ja-JP"/>
        </w:rPr>
        <w:t>17</w:t>
      </w:r>
      <w:r w:rsidRPr="00FF2815">
        <w:rPr>
          <w:rFonts w:ascii="ＭＳ 明朝" w:eastAsia="ＭＳ 明朝" w:cs="ＭＳ 明朝" w:hint="eastAsia"/>
          <w:spacing w:val="2"/>
          <w:kern w:val="0"/>
          <w:szCs w:val="21"/>
          <w:lang w:val="ja-JP"/>
        </w:rPr>
        <w:t>条の２第６項の規定により当該事業者の認定地方活力向上地域等特定業務施設整備計画の認定が取り消されたとき。</w:t>
      </w:r>
    </w:p>
    <w:p w14:paraId="4F642A81"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２</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偽りその他不正の手段により交付の決定を受けたとき。</w:t>
      </w:r>
    </w:p>
    <w:p w14:paraId="50BF805D"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３</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この条例又はこの条例に基づく規則に違反したとき。</w:t>
      </w:r>
    </w:p>
    <w:p w14:paraId="5DAC4008"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（譲渡又は担保の禁止）</w:t>
      </w:r>
    </w:p>
    <w:p w14:paraId="3421615A"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第６条</w:t>
      </w:r>
      <w:r w:rsidRPr="00FF2815">
        <w:rPr>
          <w:rFonts w:ascii="ＭＳ 明朝" w:eastAsia="ＭＳ 明朝" w:cs="ＭＳ 明朝" w:hint="eastAsia"/>
          <w:spacing w:val="2"/>
          <w:kern w:val="0"/>
          <w:szCs w:val="21"/>
          <w:lang w:val="ja-JP"/>
        </w:rPr>
        <w:t xml:space="preserve">　この条例の規定に基づく事業者の権利は、他に譲渡し、又は担保に供してはならない。</w:t>
      </w:r>
    </w:p>
    <w:p w14:paraId="7FA0897E"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lastRenderedPageBreak/>
        <w:t>（権利義務の承継）</w:t>
      </w:r>
    </w:p>
    <w:p w14:paraId="4CC791C5"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第７条</w:t>
      </w:r>
      <w:r w:rsidRPr="00FF2815">
        <w:rPr>
          <w:rFonts w:ascii="ＭＳ 明朝" w:eastAsia="ＭＳ 明朝" w:cs="ＭＳ 明朝" w:hint="eastAsia"/>
          <w:spacing w:val="2"/>
          <w:kern w:val="0"/>
          <w:szCs w:val="21"/>
          <w:lang w:val="ja-JP"/>
        </w:rPr>
        <w:t xml:space="preserve">　奨励金の交付の決定を受けた事業者が次の各号のいずれかに該当することとなった場合において、それぞれ当該各号に定める者がこの条例の規定に基づく当該事業者の権利及び義務の承継をしようとするときは、当該者は、あらかじめ市長に申請してその承認を受けなければならない。</w:t>
      </w:r>
    </w:p>
    <w:p w14:paraId="1F301B18"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１</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法人が合併により消滅した場合　合併後存続する法人又は合併により設立された法人</w:t>
      </w:r>
    </w:p>
    <w:p w14:paraId="138C2A1C"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２</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法人が分割した場合　分割により事業を承継した法人</w:t>
      </w:r>
    </w:p>
    <w:p w14:paraId="0338251B"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３</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事業を譲渡した場合　その譲受人</w:t>
      </w:r>
    </w:p>
    <w:p w14:paraId="1BF42160" w14:textId="77777777" w:rsidR="00701CC0" w:rsidRPr="00FF2815" w:rsidRDefault="00701CC0">
      <w:pPr>
        <w:autoSpaceDE w:val="0"/>
        <w:autoSpaceDN w:val="0"/>
        <w:adjustRightInd w:val="0"/>
        <w:spacing w:line="487" w:lineRule="atLeast"/>
        <w:ind w:left="428" w:hanging="214"/>
        <w:rPr>
          <w:rFonts w:ascii="ＭＳ 明朝" w:eastAsia="ＭＳ 明朝" w:cs="ＭＳ 明朝"/>
          <w:spacing w:val="2"/>
          <w:kern w:val="0"/>
          <w:szCs w:val="21"/>
          <w:lang w:val="ja-JP"/>
        </w:rPr>
      </w:pP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４</w:t>
      </w:r>
      <w:r w:rsidRPr="00FF2815">
        <w:rPr>
          <w:rFonts w:ascii="ＭＳ 明朝" w:eastAsia="ＭＳ 明朝" w:cs="ＭＳ 明朝"/>
          <w:spacing w:val="2"/>
          <w:kern w:val="0"/>
          <w:szCs w:val="21"/>
          <w:lang w:val="ja-JP"/>
        </w:rPr>
        <w:t>)</w:t>
      </w:r>
      <w:r w:rsidRPr="00FF2815">
        <w:rPr>
          <w:rFonts w:ascii="ＭＳ 明朝" w:eastAsia="ＭＳ 明朝" w:cs="ＭＳ 明朝" w:hint="eastAsia"/>
          <w:spacing w:val="2"/>
          <w:kern w:val="0"/>
          <w:szCs w:val="21"/>
          <w:lang w:val="ja-JP"/>
        </w:rPr>
        <w:t xml:space="preserve">　死亡した場合　その相続人</w:t>
      </w:r>
    </w:p>
    <w:p w14:paraId="7FB12BED"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２　市長は、前項の規定による申請があったときは、同項の承認の可否を決定し、その旨を当該申請をした者に通知するものとする。</w:t>
      </w:r>
    </w:p>
    <w:p w14:paraId="4AEF21F3"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（立入調査等）</w:t>
      </w:r>
    </w:p>
    <w:p w14:paraId="52F6550C"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第８条</w:t>
      </w:r>
      <w:r w:rsidRPr="00FF2815">
        <w:rPr>
          <w:rFonts w:ascii="ＭＳ 明朝" w:eastAsia="ＭＳ 明朝" w:cs="ＭＳ 明朝" w:hint="eastAsia"/>
          <w:spacing w:val="2"/>
          <w:kern w:val="0"/>
          <w:szCs w:val="21"/>
          <w:lang w:val="ja-JP"/>
        </w:rPr>
        <w:t xml:space="preserve">　市長は、必要があると認めるときは、奨励金の交付を申請し、又は決定を受けた事業者に対し、立地、操業、雇用状況等に関する事項を報告させ、又は当該職員に、当該事業者の事業所に立ち入って、帳簿、書類その他の必要な物件を検査させ、若しくは関係人に質問させることができる。</w:t>
      </w:r>
    </w:p>
    <w:p w14:paraId="4F298B2B"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２　前項の規定により立入調査をする職員は、その身分を示す証明書を携帯し、関係人にこれを提示しなければならない。</w:t>
      </w:r>
    </w:p>
    <w:p w14:paraId="07CCDA59" w14:textId="77777777" w:rsidR="00701CC0" w:rsidRPr="00FF2815" w:rsidRDefault="00701CC0">
      <w:pPr>
        <w:autoSpaceDE w:val="0"/>
        <w:autoSpaceDN w:val="0"/>
        <w:adjustRightInd w:val="0"/>
        <w:spacing w:line="487" w:lineRule="atLeast"/>
        <w:ind w:left="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（委任）</w:t>
      </w:r>
    </w:p>
    <w:p w14:paraId="58E1471F" w14:textId="77777777" w:rsidR="00701CC0" w:rsidRPr="00FF2815" w:rsidRDefault="00701CC0">
      <w:pPr>
        <w:autoSpaceDE w:val="0"/>
        <w:autoSpaceDN w:val="0"/>
        <w:adjustRightInd w:val="0"/>
        <w:spacing w:line="487" w:lineRule="atLeast"/>
        <w:ind w:left="214" w:hanging="214"/>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第９条</w:t>
      </w:r>
      <w:r w:rsidRPr="00FF2815">
        <w:rPr>
          <w:rFonts w:ascii="ＭＳ 明朝" w:eastAsia="ＭＳ 明朝" w:cs="ＭＳ 明朝" w:hint="eastAsia"/>
          <w:spacing w:val="2"/>
          <w:kern w:val="0"/>
          <w:szCs w:val="21"/>
          <w:lang w:val="ja-JP"/>
        </w:rPr>
        <w:t xml:space="preserve">　この条例に定めるもののほか、この条例の施行に関し必要な事項は、市長が規則で定める。</w:t>
      </w:r>
    </w:p>
    <w:p w14:paraId="55725258" w14:textId="77777777" w:rsidR="00701CC0" w:rsidRPr="00FF2815" w:rsidRDefault="00701CC0">
      <w:pPr>
        <w:autoSpaceDE w:val="0"/>
        <w:autoSpaceDN w:val="0"/>
        <w:adjustRightInd w:val="0"/>
        <w:spacing w:line="487" w:lineRule="atLeast"/>
        <w:ind w:left="642"/>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附　則</w:t>
      </w:r>
    </w:p>
    <w:p w14:paraId="1DCDCAE5" w14:textId="77777777" w:rsidR="00701CC0" w:rsidRPr="00FF2815" w:rsidRDefault="00701CC0">
      <w:pPr>
        <w:autoSpaceDE w:val="0"/>
        <w:autoSpaceDN w:val="0"/>
        <w:adjustRightInd w:val="0"/>
        <w:spacing w:line="487" w:lineRule="atLeast"/>
        <w:ind w:firstLine="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この条例は、公布の日から施行する。</w:t>
      </w:r>
    </w:p>
    <w:p w14:paraId="7AED6D42" w14:textId="77777777" w:rsidR="00701CC0" w:rsidRPr="00FF2815" w:rsidRDefault="00701CC0">
      <w:pPr>
        <w:autoSpaceDE w:val="0"/>
        <w:autoSpaceDN w:val="0"/>
        <w:adjustRightInd w:val="0"/>
        <w:spacing w:line="487" w:lineRule="atLeast"/>
        <w:ind w:left="1498" w:hanging="856"/>
        <w:rPr>
          <w:rFonts w:ascii="ＭＳ 明朝" w:eastAsia="ＭＳ 明朝" w:cs="ＭＳ 明朝"/>
          <w:spacing w:val="2"/>
          <w:kern w:val="0"/>
          <w:szCs w:val="21"/>
          <w:lang w:val="ja-JP"/>
        </w:rPr>
      </w:pPr>
      <w:r w:rsidRPr="00FF2815">
        <w:rPr>
          <w:rFonts w:ascii="ＭＳ ゴシック" w:eastAsia="ＭＳ ゴシック" w:cs="ＭＳ ゴシック" w:hint="eastAsia"/>
          <w:spacing w:val="2"/>
          <w:kern w:val="0"/>
          <w:szCs w:val="21"/>
          <w:lang w:val="ja-JP"/>
        </w:rPr>
        <w:t>附　則</w:t>
      </w:r>
      <w:r w:rsidRPr="00FF2815">
        <w:rPr>
          <w:rFonts w:ascii="ＭＳ 明朝" w:eastAsia="ＭＳ 明朝" w:cs="ＭＳ 明朝" w:hint="eastAsia"/>
          <w:spacing w:val="2"/>
          <w:kern w:val="0"/>
          <w:szCs w:val="21"/>
          <w:lang w:val="ja-JP"/>
        </w:rPr>
        <w:t>（平成</w:t>
      </w:r>
      <w:r w:rsidRPr="00FF2815">
        <w:rPr>
          <w:rFonts w:ascii="ＭＳ 明朝" w:eastAsia="ＭＳ 明朝" w:cs="ＭＳ 明朝"/>
          <w:spacing w:val="2"/>
          <w:kern w:val="0"/>
          <w:szCs w:val="21"/>
          <w:lang w:val="ja-JP"/>
        </w:rPr>
        <w:t>30</w:t>
      </w:r>
      <w:r w:rsidRPr="00FF2815">
        <w:rPr>
          <w:rFonts w:ascii="ＭＳ 明朝" w:eastAsia="ＭＳ 明朝" w:cs="ＭＳ 明朝" w:hint="eastAsia"/>
          <w:spacing w:val="2"/>
          <w:kern w:val="0"/>
          <w:szCs w:val="21"/>
          <w:lang w:val="ja-JP"/>
        </w:rPr>
        <w:t>年</w:t>
      </w:r>
      <w:r w:rsidRPr="00FF2815">
        <w:rPr>
          <w:rFonts w:ascii="ＭＳ 明朝" w:eastAsia="ＭＳ 明朝" w:cs="ＭＳ 明朝"/>
          <w:spacing w:val="2"/>
          <w:kern w:val="0"/>
          <w:szCs w:val="21"/>
          <w:lang w:val="ja-JP"/>
        </w:rPr>
        <w:t>10</w:t>
      </w:r>
      <w:r w:rsidRPr="00FF2815">
        <w:rPr>
          <w:rFonts w:ascii="ＭＳ 明朝" w:eastAsia="ＭＳ 明朝" w:cs="ＭＳ 明朝" w:hint="eastAsia"/>
          <w:spacing w:val="2"/>
          <w:kern w:val="0"/>
          <w:szCs w:val="21"/>
          <w:lang w:val="ja-JP"/>
        </w:rPr>
        <w:t>月１日いわき市条例第</w:t>
      </w:r>
      <w:r w:rsidRPr="00FF2815">
        <w:rPr>
          <w:rFonts w:ascii="ＭＳ 明朝" w:eastAsia="ＭＳ 明朝" w:cs="ＭＳ 明朝"/>
          <w:spacing w:val="2"/>
          <w:kern w:val="0"/>
          <w:szCs w:val="21"/>
          <w:lang w:val="ja-JP"/>
        </w:rPr>
        <w:t>59</w:t>
      </w:r>
      <w:r w:rsidRPr="00FF2815">
        <w:rPr>
          <w:rFonts w:ascii="ＭＳ 明朝" w:eastAsia="ＭＳ 明朝" w:cs="ＭＳ 明朝" w:hint="eastAsia"/>
          <w:spacing w:val="2"/>
          <w:kern w:val="0"/>
          <w:szCs w:val="21"/>
          <w:lang w:val="ja-JP"/>
        </w:rPr>
        <w:t>号）</w:t>
      </w:r>
    </w:p>
    <w:p w14:paraId="0185746B" w14:textId="77777777" w:rsidR="00701CC0" w:rsidRPr="00FF2815" w:rsidRDefault="00701CC0">
      <w:pPr>
        <w:autoSpaceDE w:val="0"/>
        <w:autoSpaceDN w:val="0"/>
        <w:adjustRightInd w:val="0"/>
        <w:spacing w:line="487" w:lineRule="atLeast"/>
        <w:ind w:firstLine="214"/>
        <w:rPr>
          <w:rFonts w:ascii="ＭＳ 明朝" w:eastAsia="ＭＳ 明朝" w:cs="ＭＳ 明朝"/>
          <w:spacing w:val="2"/>
          <w:kern w:val="0"/>
          <w:szCs w:val="21"/>
          <w:lang w:val="ja-JP"/>
        </w:rPr>
      </w:pPr>
      <w:r w:rsidRPr="00FF2815">
        <w:rPr>
          <w:rFonts w:ascii="ＭＳ 明朝" w:eastAsia="ＭＳ 明朝" w:cs="ＭＳ 明朝" w:hint="eastAsia"/>
          <w:spacing w:val="2"/>
          <w:kern w:val="0"/>
          <w:szCs w:val="21"/>
          <w:lang w:val="ja-JP"/>
        </w:rPr>
        <w:t>この条例は、公布の日から施行する。</w:t>
      </w:r>
    </w:p>
    <w:sectPr w:rsidR="00701CC0" w:rsidRPr="00FF2815">
      <w:footerReference w:type="default" r:id="rId6"/>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42669" w14:textId="77777777" w:rsidR="008750CE" w:rsidRDefault="008750CE">
      <w:r>
        <w:separator/>
      </w:r>
    </w:p>
  </w:endnote>
  <w:endnote w:type="continuationSeparator" w:id="0">
    <w:p w14:paraId="1326D6D4" w14:textId="77777777" w:rsidR="008750CE" w:rsidRDefault="0087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0F6CD" w14:textId="77777777" w:rsidR="00701CC0" w:rsidRDefault="00701CC0">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FF2815">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FF2815">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0AAB" w14:textId="77777777" w:rsidR="008750CE" w:rsidRDefault="008750CE">
      <w:r>
        <w:separator/>
      </w:r>
    </w:p>
  </w:footnote>
  <w:footnote w:type="continuationSeparator" w:id="0">
    <w:p w14:paraId="24673479" w14:textId="77777777" w:rsidR="008750CE" w:rsidRDefault="008750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15"/>
    <w:rsid w:val="00701CC0"/>
    <w:rsid w:val="008750CE"/>
    <w:rsid w:val="00AF48CB"/>
    <w:rsid w:val="00FF2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BAB2F5"/>
  <w14:defaultImageDpi w14:val="0"/>
  <w15:docId w15:val="{0C753E8F-BF46-4562-B3FA-3FE25B55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2139</Characters>
  <Application>Microsoft Office Word</Application>
  <DocSecurity>0</DocSecurity>
  <Lines>17</Lines>
  <Paragraphs>5</Paragraphs>
  <ScaleCrop>false</ScaleCrop>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美羽</dc:creator>
  <cp:keywords/>
  <dc:description/>
  <cp:lastModifiedBy>藤田　美羽</cp:lastModifiedBy>
  <cp:revision>2</cp:revision>
  <dcterms:created xsi:type="dcterms:W3CDTF">2025-09-29T10:39:00Z</dcterms:created>
  <dcterms:modified xsi:type="dcterms:W3CDTF">2025-09-29T10:39:00Z</dcterms:modified>
</cp:coreProperties>
</file>